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9A5" w14:textId="33E16BBA" w:rsidR="001D7D54" w:rsidRDefault="006B6366" w:rsidP="006B6366">
      <w:pPr>
        <w:pStyle w:val="Heading1"/>
        <w:jc w:val="left"/>
      </w:pPr>
      <w:bookmarkStart w:id="0" w:name="_Toc36676315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3A2D0" wp14:editId="0BF55892">
                <wp:simplePos x="0" y="0"/>
                <wp:positionH relativeFrom="column">
                  <wp:posOffset>3994150</wp:posOffset>
                </wp:positionH>
                <wp:positionV relativeFrom="paragraph">
                  <wp:posOffset>31750</wp:posOffset>
                </wp:positionV>
                <wp:extent cx="2330450" cy="1009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2617" w14:textId="5FF596B2" w:rsidR="006B6366" w:rsidRPr="006B6366" w:rsidRDefault="006B6366" w:rsidP="006B6366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3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Policy Adopted March 2015</w:t>
                            </w:r>
                          </w:p>
                          <w:p w14:paraId="21621B65" w14:textId="77777777" w:rsidR="006B6366" w:rsidRPr="006B6366" w:rsidRDefault="006B6366" w:rsidP="006B6366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3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Revised August 2016</w:t>
                            </w:r>
                          </w:p>
                          <w:p w14:paraId="4BC1BFC4" w14:textId="77777777" w:rsidR="006B6366" w:rsidRPr="006B6366" w:rsidRDefault="006B6366" w:rsidP="006B6366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3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Revised May 2020</w:t>
                            </w:r>
                          </w:p>
                          <w:p w14:paraId="62E6A661" w14:textId="77777777" w:rsidR="006B6366" w:rsidRPr="006B6366" w:rsidRDefault="006B6366" w:rsidP="006B6366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3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Revised February 2021</w:t>
                            </w:r>
                          </w:p>
                          <w:p w14:paraId="4589D1D2" w14:textId="77777777" w:rsidR="006B6366" w:rsidRPr="006B6366" w:rsidRDefault="006B6366" w:rsidP="006B6366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3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Revised August 2022</w:t>
                            </w:r>
                          </w:p>
                          <w:p w14:paraId="5343456C" w14:textId="77777777" w:rsidR="006B6366" w:rsidRPr="006B6366" w:rsidRDefault="006B6366" w:rsidP="006B6366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3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Next revision date August 2024</w:t>
                            </w:r>
                          </w:p>
                          <w:p w14:paraId="0730F42D" w14:textId="6207CAA2" w:rsidR="006B6366" w:rsidRDefault="006B6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A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2.5pt;width:18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tdDgIAACA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">
                <v:textbox>
                  <w:txbxContent>
                    <w:p w14:paraId="39202617" w14:textId="5FF596B2" w:rsidR="006B6366" w:rsidRPr="006B6366" w:rsidRDefault="006B6366" w:rsidP="006B6366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366">
                        <w:rPr>
                          <w:b/>
                          <w:bCs/>
                          <w:sz w:val="20"/>
                          <w:szCs w:val="20"/>
                        </w:rPr>
                        <w:t>Policy Adopted March 2015</w:t>
                      </w:r>
                    </w:p>
                    <w:p w14:paraId="21621B65" w14:textId="77777777" w:rsidR="006B6366" w:rsidRPr="006B6366" w:rsidRDefault="006B6366" w:rsidP="006B6366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366">
                        <w:rPr>
                          <w:b/>
                          <w:bCs/>
                          <w:sz w:val="20"/>
                          <w:szCs w:val="20"/>
                        </w:rPr>
                        <w:t>Revised August 2016</w:t>
                      </w:r>
                    </w:p>
                    <w:p w14:paraId="4BC1BFC4" w14:textId="77777777" w:rsidR="006B6366" w:rsidRPr="006B6366" w:rsidRDefault="006B6366" w:rsidP="006B6366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366">
                        <w:rPr>
                          <w:b/>
                          <w:bCs/>
                          <w:sz w:val="20"/>
                          <w:szCs w:val="20"/>
                        </w:rPr>
                        <w:t>Revised May 2020</w:t>
                      </w:r>
                    </w:p>
                    <w:p w14:paraId="62E6A661" w14:textId="77777777" w:rsidR="006B6366" w:rsidRPr="006B6366" w:rsidRDefault="006B6366" w:rsidP="006B6366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366">
                        <w:rPr>
                          <w:b/>
                          <w:bCs/>
                          <w:sz w:val="20"/>
                          <w:szCs w:val="20"/>
                        </w:rPr>
                        <w:t>Revised February 2021</w:t>
                      </w:r>
                    </w:p>
                    <w:p w14:paraId="4589D1D2" w14:textId="77777777" w:rsidR="006B6366" w:rsidRPr="006B6366" w:rsidRDefault="006B6366" w:rsidP="006B6366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366">
                        <w:rPr>
                          <w:b/>
                          <w:bCs/>
                          <w:sz w:val="20"/>
                          <w:szCs w:val="20"/>
                        </w:rPr>
                        <w:t>Revised August 2022</w:t>
                      </w:r>
                    </w:p>
                    <w:p w14:paraId="5343456C" w14:textId="77777777" w:rsidR="006B6366" w:rsidRPr="006B6366" w:rsidRDefault="006B6366" w:rsidP="006B6366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B6366">
                        <w:rPr>
                          <w:b/>
                          <w:bCs/>
                          <w:sz w:val="20"/>
                          <w:szCs w:val="20"/>
                        </w:rPr>
                        <w:t>Next revision date August 2024</w:t>
                      </w:r>
                    </w:p>
                    <w:p w14:paraId="0730F42D" w14:textId="6207CAA2" w:rsidR="006B6366" w:rsidRDefault="006B6366"/>
                  </w:txbxContent>
                </v:textbox>
                <w10:wrap type="square"/>
              </v:shape>
            </w:pict>
          </mc:Fallback>
        </mc:AlternateContent>
      </w:r>
      <w:r w:rsidR="001D7D54" w:rsidRPr="00444025">
        <w:rPr>
          <w:b w:val="0"/>
          <w:noProof/>
          <w:lang w:eastAsia="en-GB"/>
        </w:rPr>
        <w:drawing>
          <wp:inline distT="0" distB="0" distL="0" distR="0" wp14:anchorId="43DB792B" wp14:editId="55C4482D">
            <wp:extent cx="2504661" cy="523635"/>
            <wp:effectExtent l="0" t="0" r="0" b="0"/>
            <wp:docPr id="2" name="Picture 2" descr="E:\Documents\My WWW\wwwroot\NESWEC-Live\images\Header_Black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My WWW\wwwroot\NESWEC-Live\images\Header_Black_On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3F54" w14:textId="1E2E4EAE" w:rsidR="008777E6" w:rsidRDefault="008777E6" w:rsidP="006B6366">
      <w:pPr>
        <w:pStyle w:val="Heading1"/>
        <w:rPr>
          <w:u w:val="single"/>
        </w:rPr>
      </w:pPr>
      <w:r w:rsidRPr="001D7D54">
        <w:rPr>
          <w:u w:val="single"/>
        </w:rPr>
        <w:t>Health and Safety Policy</w:t>
      </w:r>
      <w:bookmarkEnd w:id="0"/>
    </w:p>
    <w:p w14:paraId="7F58F764" w14:textId="77777777" w:rsidR="006B6366" w:rsidRDefault="006B6366" w:rsidP="008777E6">
      <w:pPr>
        <w:autoSpaceDE w:val="0"/>
        <w:autoSpaceDN w:val="0"/>
        <w:adjustRightInd w:val="0"/>
        <w:spacing w:after="0" w:line="240" w:lineRule="auto"/>
      </w:pPr>
    </w:p>
    <w:p w14:paraId="395B4EEF" w14:textId="0BACCD9F" w:rsidR="008777E6" w:rsidRPr="006B6366" w:rsidRDefault="008777E6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6366">
        <w:rPr>
          <w:rFonts w:ascii="Arial" w:hAnsi="Arial" w:cs="Arial"/>
          <w:color w:val="000000"/>
          <w:sz w:val="22"/>
          <w:szCs w:val="22"/>
        </w:rPr>
        <w:t>The Health &amp; Safety at Work etc. Act 1974 [section 2 (3)] requires all employers with more than 5 employees to provide a written statement on the general policy regarding health and safety at work and the organisation and arrangements for carrying out that policy.</w:t>
      </w:r>
      <w:r w:rsidR="001D7D54" w:rsidRPr="006B6366">
        <w:rPr>
          <w:rFonts w:ascii="Arial" w:hAnsi="Arial" w:cs="Arial"/>
          <w:color w:val="000000"/>
          <w:sz w:val="22"/>
          <w:szCs w:val="22"/>
        </w:rPr>
        <w:t xml:space="preserve">  NESWEC does not have any employees as such.  Tutors are all self-employed, but a policy on health and safety issues is required.</w:t>
      </w:r>
      <w:r w:rsidRPr="006B63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F0035B" w14:textId="77777777" w:rsidR="008777E6" w:rsidRPr="006B6366" w:rsidRDefault="008777E6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58BDC6C6" w14:textId="77777777" w:rsidR="008777E6" w:rsidRPr="006B6366" w:rsidRDefault="008777E6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6366">
        <w:rPr>
          <w:rFonts w:ascii="Arial" w:hAnsi="Arial" w:cs="Arial"/>
          <w:color w:val="000000"/>
          <w:sz w:val="22"/>
          <w:szCs w:val="22"/>
        </w:rPr>
        <w:t xml:space="preserve">This Policy therefore forms part of the health and safety system and is specific to all premises </w:t>
      </w:r>
      <w:r w:rsidR="001D7D54" w:rsidRPr="006B6366">
        <w:rPr>
          <w:rFonts w:ascii="Arial" w:hAnsi="Arial" w:cs="Arial"/>
          <w:color w:val="000000"/>
          <w:sz w:val="22"/>
          <w:szCs w:val="22"/>
        </w:rPr>
        <w:t>used by NESWEC</w:t>
      </w:r>
      <w:r w:rsidRPr="006B6366">
        <w:rPr>
          <w:rFonts w:ascii="Arial" w:hAnsi="Arial" w:cs="Arial"/>
          <w:color w:val="000000"/>
          <w:sz w:val="22"/>
          <w:szCs w:val="22"/>
        </w:rPr>
        <w:t>.</w:t>
      </w:r>
    </w:p>
    <w:p w14:paraId="037F7891" w14:textId="77777777" w:rsidR="008777E6" w:rsidRPr="006B6366" w:rsidRDefault="008777E6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4115F6" w14:textId="77777777" w:rsidR="008777E6" w:rsidRPr="006B6366" w:rsidRDefault="008777E6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6366">
        <w:rPr>
          <w:rFonts w:ascii="Arial" w:hAnsi="Arial" w:cs="Arial"/>
          <w:b/>
          <w:bCs/>
          <w:color w:val="000000"/>
          <w:sz w:val="22"/>
          <w:szCs w:val="22"/>
        </w:rPr>
        <w:t xml:space="preserve">Aim </w:t>
      </w:r>
    </w:p>
    <w:p w14:paraId="77F45C8D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748F736C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 xml:space="preserve">The general Health and Safety policy of </w:t>
      </w:r>
      <w:r w:rsidR="001D7D54" w:rsidRPr="006B6366">
        <w:rPr>
          <w:rFonts w:ascii="Arial" w:eastAsia="Times New Roman" w:hAnsi="Arial" w:cs="Arial"/>
          <w:sz w:val="22"/>
          <w:szCs w:val="22"/>
        </w:rPr>
        <w:t>NESWEC</w:t>
      </w:r>
      <w:r w:rsidRPr="006B6366">
        <w:rPr>
          <w:rFonts w:ascii="Arial" w:eastAsia="Times New Roman" w:hAnsi="Arial" w:cs="Arial"/>
          <w:sz w:val="22"/>
          <w:szCs w:val="22"/>
        </w:rPr>
        <w:t xml:space="preserve"> is:</w:t>
      </w:r>
    </w:p>
    <w:p w14:paraId="3E4BED25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01D5887A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>To prevent accidents and cases of work-related ill health and provide adequate control of health and safety risks arising from work activities</w:t>
      </w:r>
    </w:p>
    <w:p w14:paraId="77E1503D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19D01C8A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 xml:space="preserve">To provide adequate training to ensure </w:t>
      </w:r>
      <w:r w:rsidR="001D7D54" w:rsidRPr="006B6366">
        <w:rPr>
          <w:rFonts w:ascii="Arial" w:eastAsia="Times New Roman" w:hAnsi="Arial" w:cs="Arial"/>
          <w:sz w:val="22"/>
          <w:szCs w:val="22"/>
        </w:rPr>
        <w:t xml:space="preserve">that all who work with NESWEC </w:t>
      </w:r>
      <w:r w:rsidRPr="006B6366">
        <w:rPr>
          <w:rFonts w:ascii="Arial" w:eastAsia="Times New Roman" w:hAnsi="Arial" w:cs="Arial"/>
          <w:sz w:val="22"/>
          <w:szCs w:val="22"/>
        </w:rPr>
        <w:t>are competent to do their work</w:t>
      </w:r>
    </w:p>
    <w:p w14:paraId="5FE3A595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3B5441F6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 xml:space="preserve">To engage and consult with </w:t>
      </w:r>
      <w:r w:rsidR="001D7D54" w:rsidRPr="006B6366">
        <w:rPr>
          <w:rFonts w:ascii="Arial" w:eastAsia="Times New Roman" w:hAnsi="Arial" w:cs="Arial"/>
          <w:sz w:val="22"/>
          <w:szCs w:val="22"/>
        </w:rPr>
        <w:t>all who work with NESWEC</w:t>
      </w:r>
      <w:r w:rsidRPr="006B6366">
        <w:rPr>
          <w:rFonts w:ascii="Arial" w:eastAsia="Times New Roman" w:hAnsi="Arial" w:cs="Arial"/>
          <w:sz w:val="22"/>
          <w:szCs w:val="22"/>
        </w:rPr>
        <w:t xml:space="preserve"> on day-to-day health and safety conditions and provide advice and supervision on occupational health</w:t>
      </w:r>
    </w:p>
    <w:p w14:paraId="2A73455F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23392089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 xml:space="preserve">To implement emergency procedures - evacuation in case of fire or other significant incident.  </w:t>
      </w:r>
    </w:p>
    <w:p w14:paraId="61A1E522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1AE0407D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>To maintain safe and healthy working conditions, provide and maintain equipment and ensure safe storage/use of substances.</w:t>
      </w:r>
    </w:p>
    <w:p w14:paraId="2816CDE8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0DE61699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6B6366">
        <w:rPr>
          <w:rFonts w:ascii="Arial" w:eastAsia="Times New Roman" w:hAnsi="Arial" w:cs="Arial"/>
          <w:b/>
          <w:sz w:val="22"/>
          <w:szCs w:val="22"/>
        </w:rPr>
        <w:t>Procedure</w:t>
      </w:r>
    </w:p>
    <w:p w14:paraId="4EFDB2D7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75C2B1FA" w14:textId="77777777" w:rsidR="008777E6" w:rsidRPr="006B6366" w:rsidRDefault="00EC0C91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6B6366">
        <w:rPr>
          <w:rFonts w:ascii="Arial" w:eastAsia="Times New Roman" w:hAnsi="Arial" w:cs="Arial"/>
          <w:sz w:val="22"/>
          <w:szCs w:val="22"/>
        </w:rPr>
        <w:t>The Course Coordinator</w:t>
      </w:r>
      <w:r w:rsidR="008777E6" w:rsidRPr="006B6366">
        <w:rPr>
          <w:rFonts w:ascii="Arial" w:eastAsia="Times New Roman" w:hAnsi="Arial" w:cs="Arial"/>
          <w:sz w:val="22"/>
          <w:szCs w:val="22"/>
        </w:rPr>
        <w:t xml:space="preserve"> has conducted a Risk Assessment and </w:t>
      </w:r>
      <w:r w:rsidRPr="006B6366">
        <w:rPr>
          <w:rFonts w:ascii="Arial" w:eastAsia="Times New Roman" w:hAnsi="Arial" w:cs="Arial"/>
          <w:sz w:val="22"/>
          <w:szCs w:val="22"/>
        </w:rPr>
        <w:t>shared</w:t>
      </w:r>
      <w:r w:rsidR="008777E6" w:rsidRPr="006B6366">
        <w:rPr>
          <w:rFonts w:ascii="Arial" w:eastAsia="Times New Roman" w:hAnsi="Arial" w:cs="Arial"/>
          <w:sz w:val="22"/>
          <w:szCs w:val="22"/>
        </w:rPr>
        <w:t xml:space="preserve"> the significa</w:t>
      </w:r>
      <w:r w:rsidRPr="006B6366">
        <w:rPr>
          <w:rFonts w:ascii="Arial" w:eastAsia="Times New Roman" w:hAnsi="Arial" w:cs="Arial"/>
          <w:sz w:val="22"/>
          <w:szCs w:val="22"/>
        </w:rPr>
        <w:t>nt findings for use by all students, tutors and visitors</w:t>
      </w:r>
      <w:r w:rsidR="008777E6" w:rsidRPr="006B6366">
        <w:rPr>
          <w:rFonts w:ascii="Arial" w:eastAsia="Times New Roman" w:hAnsi="Arial" w:cs="Arial"/>
          <w:sz w:val="22"/>
          <w:szCs w:val="22"/>
        </w:rPr>
        <w:t xml:space="preserve">. The Risk Assessment plan is </w:t>
      </w:r>
      <w:r w:rsidRPr="006B6366">
        <w:rPr>
          <w:rFonts w:ascii="Arial" w:eastAsia="Times New Roman" w:hAnsi="Arial" w:cs="Arial"/>
          <w:sz w:val="22"/>
          <w:szCs w:val="22"/>
        </w:rPr>
        <w:t>available from the Course Coordinator, is shared with all tutors and is available to all students and visitors</w:t>
      </w:r>
      <w:r w:rsidR="008777E6" w:rsidRPr="006B6366">
        <w:rPr>
          <w:rFonts w:ascii="Arial" w:eastAsia="Times New Roman" w:hAnsi="Arial" w:cs="Arial"/>
          <w:sz w:val="22"/>
          <w:szCs w:val="22"/>
        </w:rPr>
        <w:t xml:space="preserve"> on request. </w:t>
      </w:r>
    </w:p>
    <w:p w14:paraId="4932B5C9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3974C480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6B6366">
        <w:rPr>
          <w:rFonts w:ascii="Arial" w:eastAsia="Times New Roman" w:hAnsi="Arial" w:cs="Arial"/>
          <w:b/>
          <w:sz w:val="22"/>
          <w:szCs w:val="22"/>
        </w:rPr>
        <w:t>Centres</w:t>
      </w:r>
    </w:p>
    <w:p w14:paraId="4FA32C3B" w14:textId="77777777" w:rsidR="008777E6" w:rsidRPr="006B6366" w:rsidRDefault="008777E6" w:rsidP="008777E6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14:paraId="41E4A315" w14:textId="77777777" w:rsidR="001D7D54" w:rsidRPr="006B6366" w:rsidRDefault="001D7D54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6366">
        <w:rPr>
          <w:rFonts w:ascii="Arial" w:hAnsi="Arial" w:cs="Arial"/>
          <w:color w:val="000000"/>
          <w:sz w:val="22"/>
          <w:szCs w:val="22"/>
        </w:rPr>
        <w:t>NESWEC</w:t>
      </w:r>
      <w:r w:rsidR="008777E6" w:rsidRPr="006B6366">
        <w:rPr>
          <w:rFonts w:ascii="Arial" w:hAnsi="Arial" w:cs="Arial"/>
          <w:color w:val="000000"/>
          <w:sz w:val="22"/>
          <w:szCs w:val="22"/>
        </w:rPr>
        <w:t xml:space="preserve"> requires that </w:t>
      </w:r>
      <w:r w:rsidRPr="006B6366">
        <w:rPr>
          <w:rFonts w:ascii="Arial" w:hAnsi="Arial" w:cs="Arial"/>
          <w:color w:val="000000"/>
          <w:sz w:val="22"/>
          <w:szCs w:val="22"/>
        </w:rPr>
        <w:t>the schools used as training centres</w:t>
      </w:r>
      <w:r w:rsidR="008777E6" w:rsidRPr="006B6366">
        <w:rPr>
          <w:rFonts w:ascii="Arial" w:hAnsi="Arial" w:cs="Arial"/>
          <w:color w:val="000000"/>
          <w:sz w:val="22"/>
          <w:szCs w:val="22"/>
        </w:rPr>
        <w:t xml:space="preserve"> have a Health and Safety Policy and risk assessment plan in place in accordance with The Health &amp; Safety at Work etc. Act 1974 [section 2 (3)]. </w:t>
      </w:r>
    </w:p>
    <w:p w14:paraId="7B5139B0" w14:textId="77777777" w:rsidR="001D7D54" w:rsidRPr="006B6366" w:rsidRDefault="001D7D54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761F05B4" w14:textId="77777777" w:rsidR="008777E6" w:rsidRPr="006B6366" w:rsidRDefault="008777E6" w:rsidP="0087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6B6366">
        <w:rPr>
          <w:rFonts w:ascii="Arial" w:hAnsi="Arial" w:cs="Arial"/>
          <w:color w:val="000000"/>
          <w:sz w:val="22"/>
          <w:szCs w:val="22"/>
        </w:rPr>
        <w:t xml:space="preserve">A standard element of the annual review process at each CI approved centre will be to ensure that Health and Safety policy, procedures and Risk Assessment plans are in place.  </w:t>
      </w:r>
    </w:p>
    <w:p w14:paraId="1F2AB278" w14:textId="5FA46EBE" w:rsidR="008777E6" w:rsidRPr="006B6366" w:rsidRDefault="008777E6" w:rsidP="00877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394F02" w14:textId="5175B19D" w:rsidR="00FA6901" w:rsidRPr="006B6366" w:rsidRDefault="00FA6901" w:rsidP="00877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63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N.B. </w:t>
      </w:r>
      <w:r w:rsidR="001A7518">
        <w:rPr>
          <w:rStyle w:val="Hyperlink"/>
          <w:rFonts w:ascii="Arial" w:hAnsi="Arial" w:cs="Arial"/>
          <w:b/>
          <w:color w:val="auto"/>
          <w:sz w:val="22"/>
          <w:szCs w:val="22"/>
        </w:rPr>
        <w:t>When t</w:t>
      </w:r>
      <w:r w:rsidRPr="006B6366">
        <w:rPr>
          <w:rStyle w:val="Hyperlink"/>
          <w:rFonts w:ascii="Arial" w:hAnsi="Arial" w:cs="Arial"/>
          <w:b/>
          <w:color w:val="auto"/>
          <w:sz w:val="22"/>
          <w:szCs w:val="22"/>
        </w:rPr>
        <w:t>here are specific procedures related to Covid19</w:t>
      </w:r>
      <w:r w:rsidR="001A7518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or other</w:t>
      </w:r>
      <w:r w:rsidR="00342C84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pandemic diseases,</w:t>
      </w:r>
      <w:r w:rsidRPr="006B63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1A7518">
        <w:rPr>
          <w:rStyle w:val="Hyperlink"/>
          <w:rFonts w:ascii="Arial" w:hAnsi="Arial" w:cs="Arial"/>
          <w:b/>
          <w:color w:val="auto"/>
          <w:sz w:val="22"/>
          <w:szCs w:val="22"/>
        </w:rPr>
        <w:t>these</w:t>
      </w:r>
      <w:r w:rsidRPr="006B63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are </w:t>
      </w:r>
      <w:r w:rsidR="000A2B80" w:rsidRPr="006B63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kept </w:t>
      </w:r>
      <w:r w:rsidRPr="006B6366">
        <w:rPr>
          <w:rStyle w:val="Hyperlink"/>
          <w:rFonts w:ascii="Arial" w:hAnsi="Arial" w:cs="Arial"/>
          <w:b/>
          <w:color w:val="auto"/>
          <w:sz w:val="22"/>
          <w:szCs w:val="22"/>
        </w:rPr>
        <w:t>updated in accordance with government guidelines and available from the Course Coordinator.  These are brought to the attention of tutors and students before residentials take place.</w:t>
      </w:r>
    </w:p>
    <w:p w14:paraId="440D649C" w14:textId="6E5A695B" w:rsidR="008777E6" w:rsidRPr="006B6366" w:rsidRDefault="008777E6" w:rsidP="00877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  <w:szCs w:val="22"/>
        </w:rPr>
      </w:pPr>
      <w:r w:rsidRPr="006B6366">
        <w:rPr>
          <w:rFonts w:ascii="Arial" w:hAnsi="Arial" w:cs="Arial"/>
          <w:b/>
          <w:sz w:val="22"/>
          <w:szCs w:val="22"/>
        </w:rPr>
        <w:t xml:space="preserve">This policy will be reviewed </w:t>
      </w:r>
      <w:r w:rsidR="00342C84">
        <w:rPr>
          <w:rFonts w:ascii="Arial" w:hAnsi="Arial" w:cs="Arial"/>
          <w:b/>
          <w:sz w:val="22"/>
          <w:szCs w:val="22"/>
        </w:rPr>
        <w:t>annually</w:t>
      </w:r>
      <w:r w:rsidR="00EC0C91" w:rsidRPr="006B6366">
        <w:rPr>
          <w:rFonts w:ascii="Arial" w:hAnsi="Arial" w:cs="Arial"/>
          <w:b/>
          <w:sz w:val="22"/>
          <w:szCs w:val="22"/>
        </w:rPr>
        <w:t xml:space="preserve"> and kept on the website </w:t>
      </w:r>
      <w:hyperlink r:id="rId6" w:history="1">
        <w:r w:rsidR="006D44EF" w:rsidRPr="006B6366">
          <w:rPr>
            <w:rStyle w:val="Hyperlink"/>
            <w:rFonts w:ascii="Arial" w:hAnsi="Arial" w:cs="Arial"/>
            <w:b/>
            <w:sz w:val="22"/>
            <w:szCs w:val="22"/>
          </w:rPr>
          <w:t>www.neswec.org.uk</w:t>
        </w:r>
      </w:hyperlink>
    </w:p>
    <w:p w14:paraId="50D9854B" w14:textId="77777777" w:rsidR="00EC0C91" w:rsidRPr="006B6366" w:rsidRDefault="00EC0C91" w:rsidP="00877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B6366">
        <w:rPr>
          <w:rFonts w:ascii="Arial" w:hAnsi="Arial" w:cs="Arial"/>
          <w:b/>
          <w:sz w:val="22"/>
          <w:szCs w:val="22"/>
        </w:rPr>
        <w:t xml:space="preserve">Course Coordinator: Jill Tina Taplin: </w:t>
      </w:r>
      <w:hyperlink r:id="rId7" w:history="1">
        <w:r w:rsidRPr="006B6366">
          <w:rPr>
            <w:rStyle w:val="Hyperlink"/>
            <w:rFonts w:ascii="Arial" w:hAnsi="Arial" w:cs="Arial"/>
            <w:b/>
            <w:sz w:val="22"/>
            <w:szCs w:val="22"/>
          </w:rPr>
          <w:t>jill@neswec.org.uk</w:t>
        </w:r>
      </w:hyperlink>
      <w:r w:rsidRPr="006B6366">
        <w:rPr>
          <w:rFonts w:ascii="Arial" w:hAnsi="Arial" w:cs="Arial"/>
          <w:b/>
          <w:sz w:val="22"/>
          <w:szCs w:val="22"/>
        </w:rPr>
        <w:t xml:space="preserve"> </w:t>
      </w:r>
    </w:p>
    <w:sectPr w:rsidR="00EC0C91" w:rsidRPr="006B6366" w:rsidSect="001D7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A47"/>
    <w:multiLevelType w:val="hybridMultilevel"/>
    <w:tmpl w:val="E9E8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603"/>
    <w:multiLevelType w:val="hybridMultilevel"/>
    <w:tmpl w:val="EE1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6EF"/>
    <w:multiLevelType w:val="hybridMultilevel"/>
    <w:tmpl w:val="D9D2F902"/>
    <w:lvl w:ilvl="0" w:tplc="62AE3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2DF"/>
    <w:multiLevelType w:val="hybridMultilevel"/>
    <w:tmpl w:val="EB78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CC9"/>
    <w:multiLevelType w:val="hybridMultilevel"/>
    <w:tmpl w:val="769EFF40"/>
    <w:lvl w:ilvl="0" w:tplc="06FA113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4B29"/>
    <w:multiLevelType w:val="multilevel"/>
    <w:tmpl w:val="8C32D550"/>
    <w:lvl w:ilvl="0">
      <w:start w:val="1"/>
      <w:numFmt w:val="decimal"/>
      <w:lvlText w:val="%1."/>
      <w:lvlJc w:val="left"/>
      <w:pPr>
        <w:ind w:left="1089" w:hanging="380"/>
      </w:pPr>
      <w:rPr>
        <w:color w:val="auto"/>
        <w:sz w:val="20"/>
        <w:szCs w:val="20"/>
      </w:rPr>
    </w:lvl>
    <w:lvl w:ilvl="1">
      <w:start w:val="1"/>
      <w:numFmt w:val="decimal"/>
      <w:pStyle w:val="Heading2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 w16cid:durableId="3657613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286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9706">
    <w:abstractNumId w:val="1"/>
  </w:num>
  <w:num w:numId="4" w16cid:durableId="1849517959">
    <w:abstractNumId w:val="2"/>
  </w:num>
  <w:num w:numId="5" w16cid:durableId="687147613">
    <w:abstractNumId w:val="3"/>
  </w:num>
  <w:num w:numId="6" w16cid:durableId="188555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7E6"/>
    <w:rsid w:val="000A2B80"/>
    <w:rsid w:val="000D148D"/>
    <w:rsid w:val="000F6209"/>
    <w:rsid w:val="00197671"/>
    <w:rsid w:val="001A7518"/>
    <w:rsid w:val="001D7D54"/>
    <w:rsid w:val="0034037A"/>
    <w:rsid w:val="00342C84"/>
    <w:rsid w:val="004418C4"/>
    <w:rsid w:val="00501604"/>
    <w:rsid w:val="0051111A"/>
    <w:rsid w:val="00651090"/>
    <w:rsid w:val="006B6366"/>
    <w:rsid w:val="006D44EF"/>
    <w:rsid w:val="007E0E93"/>
    <w:rsid w:val="008777E6"/>
    <w:rsid w:val="00A36815"/>
    <w:rsid w:val="00AF7B47"/>
    <w:rsid w:val="00B01CBB"/>
    <w:rsid w:val="00CC663F"/>
    <w:rsid w:val="00D11AA8"/>
    <w:rsid w:val="00E66272"/>
    <w:rsid w:val="00EC0C91"/>
    <w:rsid w:val="00F9485F"/>
    <w:rsid w:val="00F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E242"/>
  <w15:docId w15:val="{8405C207-5166-4ABD-9126-99DA772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E6"/>
    <w:pPr>
      <w:spacing w:after="200" w:line="276" w:lineRule="auto"/>
    </w:pPr>
    <w:rPr>
      <w:rFonts w:ascii="Calibri" w:eastAsia="Calibri" w:hAnsi="Calibri" w:cs="Times New Roman"/>
      <w:b w:val="0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D7D54"/>
    <w:pPr>
      <w:keepNext/>
      <w:keepLines/>
      <w:spacing w:before="480" w:after="0"/>
      <w:ind w:left="380" w:hanging="380"/>
      <w:contextualSpacing/>
      <w:jc w:val="center"/>
      <w:outlineLvl w:val="0"/>
    </w:pPr>
    <w:rPr>
      <w:rFonts w:ascii="Arial" w:eastAsia="Times New Roman" w:hAnsi="Arial" w:cs="Arial"/>
      <w:b/>
      <w:sz w:val="22"/>
      <w:szCs w:val="22"/>
    </w:rPr>
  </w:style>
  <w:style w:type="paragraph" w:styleId="Heading2">
    <w:name w:val="heading 2"/>
    <w:basedOn w:val="Normal"/>
    <w:link w:val="Heading2Char"/>
    <w:autoRedefine/>
    <w:semiHidden/>
    <w:unhideWhenUsed/>
    <w:qFormat/>
    <w:rsid w:val="008777E6"/>
    <w:pPr>
      <w:numPr>
        <w:ilvl w:val="1"/>
        <w:numId w:val="1"/>
      </w:numPr>
      <w:spacing w:before="100" w:beforeAutospacing="1" w:after="100" w:afterAutospacing="1"/>
      <w:ind w:left="1140"/>
      <w:outlineLvl w:val="1"/>
    </w:pPr>
    <w:rPr>
      <w:rFonts w:ascii="Arial" w:eastAsia="Arial Unicode MS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D54"/>
    <w:rPr>
      <w:rFonts w:eastAsia="Times New Roman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8777E6"/>
    <w:rPr>
      <w:rFonts w:eastAsia="Arial Unicode MS"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777E6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8777E6"/>
    <w:pPr>
      <w:widowControl w:val="0"/>
      <w:numPr>
        <w:numId w:val="2"/>
      </w:numPr>
      <w:tabs>
        <w:tab w:val="left" w:pos="560"/>
        <w:tab w:val="left" w:pos="1120"/>
        <w:tab w:val="left" w:pos="1680"/>
        <w:tab w:val="left" w:pos="2240"/>
        <w:tab w:val="left" w:pos="2506"/>
        <w:tab w:val="left" w:pos="2800"/>
        <w:tab w:val="left" w:pos="3360"/>
        <w:tab w:val="left" w:pos="3920"/>
        <w:tab w:val="left" w:pos="4395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ascii="Arial" w:hAnsi="Arial" w:cs="Arial"/>
      <w:bCs/>
      <w:color w:val="000000" w:themeColor="text1"/>
    </w:rPr>
  </w:style>
  <w:style w:type="paragraph" w:customStyle="1" w:styleId="Default">
    <w:name w:val="Default"/>
    <w:rsid w:val="008777E6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EF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@neswe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we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Taplin</dc:creator>
  <cp:keywords/>
  <dc:description/>
  <cp:lastModifiedBy>Jill Taplin</cp:lastModifiedBy>
  <cp:revision>22</cp:revision>
  <dcterms:created xsi:type="dcterms:W3CDTF">2015-03-24T11:31:00Z</dcterms:created>
  <dcterms:modified xsi:type="dcterms:W3CDTF">2022-09-16T10:41:00Z</dcterms:modified>
</cp:coreProperties>
</file>